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Meeting Notes – Healthcare Pricing Working Session (June 10, 2022)</w:t>
      </w:r>
    </w:p>
    <w:p>
      <w:pPr>
        <w:pStyle w:val="Heading2"/>
      </w:pPr>
      <w:r>
        <w:t>Agenda</w:t>
      </w:r>
    </w:p>
    <w:p>
      <w:r>
        <w:t>1) FY23 planning timeline; 2) Top account renewal calendar; 3) Disruption-era pricing actions; 4) Messaging discipline.</w:t>
      </w:r>
    </w:p>
    <w:p>
      <w:pPr>
        <w:pStyle w:val="Heading2"/>
      </w:pPr>
      <w:r>
        <w:t>Key Points</w:t>
      </w:r>
    </w:p>
    <w:p>
      <w:r>
        <w:t>FP&amp;A requested clarity on whether to model rollback scenarios; consensus leaned toward churn/retender sensitivity instead.</w:t>
      </w:r>
    </w:p>
    <w:p>
      <w:r>
        <w:t>Sales highlighted Alpine Medical as uniquely sensitive: procurement indicated downstream hospital tenders require stable pricing, and any attempted reversion could trigger a retender event.</w:t>
      </w:r>
    </w:p>
    <w:p>
      <w:r>
        <w:t>Legal reiterated external documentation should remain disruption-framed; internal baseline can reflect commercial expectations but should avoid ‘reset’ language.</w:t>
      </w:r>
    </w:p>
    <w:p>
      <w:pPr>
        <w:pStyle w:val="Heading2"/>
      </w:pPr>
      <w:r>
        <w:t>Actions</w:t>
      </w:r>
    </w:p>
    <w:p>
      <w:r>
        <w:t>Pricing Ops to update exception log; FP&amp;A to finalize baseline workbook; Legal to circulate language guidance.</w:t>
      </w:r>
    </w:p>
    <w:p>
      <w:r>
        <w:br w:type="page"/>
      </w:r>
    </w:p>
    <w:p>
      <w:r>
        <w:t>CONFIDENTIAL – Synthetic demo document for AIDE.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